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DC" w:rsidRDefault="00D928E7" w:rsidP="002E22DC">
      <w:pPr>
        <w:ind w:firstLine="720"/>
      </w:pPr>
      <w:r w:rsidRPr="00D928E7">
        <w:drawing>
          <wp:inline distT="0" distB="0" distL="0" distR="0">
            <wp:extent cx="1044206" cy="862903"/>
            <wp:effectExtent l="19050" t="0" r="3544" b="0"/>
            <wp:docPr id="1" name="Picture 1" descr="D:\User files\Documents\Dropbox\Rita\Demokratiskie apli\2015\Norge 3-6 maijas\vienkarss_bez_laukuma_rgb_v_L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Rita\Demokratiskie apli\2015\Norge 3-6 maijas\vienkarss_bez_laukuma_rgb_v_LV-5.jpg"/>
                    <pic:cNvPicPr>
                      <a:picLocks noChangeAspect="1" noChangeArrowheads="1"/>
                    </pic:cNvPicPr>
                  </pic:nvPicPr>
                  <pic:blipFill>
                    <a:blip r:embed="rId4" cstate="print"/>
                    <a:srcRect/>
                    <a:stretch>
                      <a:fillRect/>
                    </a:stretch>
                  </pic:blipFill>
                  <pic:spPr bwMode="auto">
                    <a:xfrm>
                      <a:off x="0" y="0"/>
                      <a:ext cx="1048775" cy="866679"/>
                    </a:xfrm>
                    <a:prstGeom prst="rect">
                      <a:avLst/>
                    </a:prstGeom>
                    <a:noFill/>
                    <a:ln w="9525">
                      <a:noFill/>
                      <a:miter lim="800000"/>
                      <a:headEnd/>
                      <a:tailEnd/>
                    </a:ln>
                  </pic:spPr>
                </pic:pic>
              </a:graphicData>
            </a:graphic>
          </wp:inline>
        </w:drawing>
      </w:r>
      <w:r w:rsidRPr="00D928E7">
        <w:drawing>
          <wp:inline distT="0" distB="0" distL="0" distR="0">
            <wp:extent cx="1033573" cy="1033573"/>
            <wp:effectExtent l="19050" t="0" r="0" b="0"/>
            <wp:docPr id="2" name="Picture 2" descr="D:\User files\Documents\Dropbox\Rita\Demokratiskie apli\LOGO\logo_kvadrats_angl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Rita\Demokratiskie apli\LOGO\logo_kvadrats_angliski.jpg"/>
                    <pic:cNvPicPr>
                      <a:picLocks noChangeAspect="1" noChangeArrowheads="1"/>
                    </pic:cNvPicPr>
                  </pic:nvPicPr>
                  <pic:blipFill>
                    <a:blip r:embed="rId5" cstate="print"/>
                    <a:srcRect/>
                    <a:stretch>
                      <a:fillRect/>
                    </a:stretch>
                  </pic:blipFill>
                  <pic:spPr bwMode="auto">
                    <a:xfrm>
                      <a:off x="0" y="0"/>
                      <a:ext cx="1036804" cy="1036804"/>
                    </a:xfrm>
                    <a:prstGeom prst="rect">
                      <a:avLst/>
                    </a:prstGeom>
                    <a:noFill/>
                    <a:ln w="9525">
                      <a:noFill/>
                      <a:miter lim="800000"/>
                      <a:headEnd/>
                      <a:tailEnd/>
                    </a:ln>
                  </pic:spPr>
                </pic:pic>
              </a:graphicData>
            </a:graphic>
          </wp:inline>
        </w:drawing>
      </w:r>
    </w:p>
    <w:p w:rsidR="002E22DC" w:rsidRDefault="002E22DC" w:rsidP="002E22DC">
      <w:pPr>
        <w:ind w:firstLine="720"/>
        <w:rPr>
          <w:b/>
          <w:color w:val="141823"/>
          <w:sz w:val="28"/>
          <w:szCs w:val="28"/>
        </w:rPr>
      </w:pPr>
      <w:r>
        <w:t xml:space="preserve">Projekta ”Demokrātiskie studiju apļi” kārtējā </w:t>
      </w:r>
      <w:r w:rsidRPr="00723875">
        <w:rPr>
          <w:b/>
        </w:rPr>
        <w:t>DARBA GRUPAS sanāksme</w:t>
      </w:r>
      <w:r>
        <w:t xml:space="preserve"> </w:t>
      </w:r>
      <w:proofErr w:type="gramStart"/>
      <w:r w:rsidRPr="00D928E7">
        <w:rPr>
          <w:b/>
        </w:rPr>
        <w:t>2015.gada</w:t>
      </w:r>
      <w:proofErr w:type="gramEnd"/>
      <w:r w:rsidRPr="00D928E7">
        <w:rPr>
          <w:b/>
        </w:rPr>
        <w:t xml:space="preserve"> </w:t>
      </w:r>
      <w:r w:rsidR="00D928E7" w:rsidRPr="00D928E7">
        <w:rPr>
          <w:b/>
        </w:rPr>
        <w:t>APRĪL</w:t>
      </w:r>
      <w:r w:rsidRPr="00D928E7">
        <w:rPr>
          <w:b/>
        </w:rPr>
        <w:t>Ī</w:t>
      </w:r>
      <w:r>
        <w:t xml:space="preserve"> tika veltīta tēmai – </w:t>
      </w:r>
      <w:r w:rsidR="00D928E7" w:rsidRPr="00D928E7">
        <w:rPr>
          <w:b/>
          <w:color w:val="141823"/>
          <w:sz w:val="28"/>
          <w:szCs w:val="28"/>
        </w:rPr>
        <w:t>e-instruments NVO pašnovērtējuma veikšanai</w:t>
      </w:r>
      <w:r w:rsidR="00D928E7">
        <w:rPr>
          <w:b/>
          <w:color w:val="141823"/>
          <w:sz w:val="28"/>
          <w:szCs w:val="28"/>
        </w:rPr>
        <w:t>.</w:t>
      </w:r>
    </w:p>
    <w:p w:rsidR="00D928E7" w:rsidRPr="00D928E7" w:rsidRDefault="00D928E7" w:rsidP="002E22DC">
      <w:pPr>
        <w:ind w:firstLine="720"/>
        <w:rPr>
          <w:b/>
          <w:sz w:val="28"/>
          <w:szCs w:val="28"/>
        </w:rPr>
      </w:pPr>
    </w:p>
    <w:p w:rsidR="00D928E7" w:rsidRPr="00D928E7" w:rsidRDefault="00D928E7" w:rsidP="00D928E7">
      <w:pPr>
        <w:pStyle w:val="NormalWeb"/>
        <w:shd w:val="clear" w:color="auto" w:fill="FFFFFF"/>
        <w:spacing w:before="0" w:beforeAutospacing="0" w:afterAutospacing="0" w:line="323" w:lineRule="atLeast"/>
        <w:jc w:val="center"/>
        <w:rPr>
          <w:b/>
          <w:color w:val="141823"/>
          <w:u w:val="single"/>
        </w:rPr>
      </w:pPr>
      <w:r w:rsidRPr="00D928E7">
        <w:rPr>
          <w:b/>
          <w:color w:val="141823"/>
          <w:u w:val="single"/>
        </w:rPr>
        <w:t>Iespēja sasniegt NVO izcilību</w:t>
      </w:r>
    </w:p>
    <w:p w:rsidR="00D928E7" w:rsidRPr="00D928E7" w:rsidRDefault="00D928E7" w:rsidP="00D928E7">
      <w:pPr>
        <w:pStyle w:val="NormalWeb"/>
        <w:shd w:val="clear" w:color="auto" w:fill="FFFFFF"/>
        <w:spacing w:beforeAutospacing="0" w:afterAutospacing="0" w:line="323" w:lineRule="atLeast"/>
        <w:jc w:val="both"/>
        <w:rPr>
          <w:color w:val="141823"/>
          <w:sz w:val="22"/>
          <w:szCs w:val="22"/>
        </w:rPr>
      </w:pPr>
      <w:r w:rsidRPr="00D928E7">
        <w:rPr>
          <w:color w:val="141823"/>
          <w:sz w:val="22"/>
          <w:szCs w:val="22"/>
        </w:rPr>
        <w:t xml:space="preserve">Latvijas Pilsoniskā alianse un SIA </w:t>
      </w:r>
      <w:proofErr w:type="spellStart"/>
      <w:r w:rsidRPr="00D928E7">
        <w:rPr>
          <w:color w:val="141823"/>
          <w:sz w:val="22"/>
          <w:szCs w:val="22"/>
        </w:rPr>
        <w:t>Eurofortis</w:t>
      </w:r>
      <w:proofErr w:type="spellEnd"/>
      <w:r w:rsidRPr="00D928E7">
        <w:rPr>
          <w:color w:val="141823"/>
          <w:sz w:val="22"/>
          <w:szCs w:val="22"/>
        </w:rPr>
        <w:t xml:space="preserve"> IT ir izstrādājuši e-instrumentu NVO pašnovērtējuma veikšanai. Nevalstiskās organizācijas Eiropā, kas ieviesušas EFQM Izcilības modeļa principus savā ikdienas darbā, pierāda, ka to klientu un sabiedrības apmierinātības līmenis ir ievērojami augstāks</w:t>
      </w:r>
      <w:proofErr w:type="gramStart"/>
      <w:r w:rsidRPr="00D928E7">
        <w:rPr>
          <w:color w:val="141823"/>
          <w:sz w:val="22"/>
          <w:szCs w:val="22"/>
        </w:rPr>
        <w:t xml:space="preserve"> salīdzinot ar citām organizācijām</w:t>
      </w:r>
      <w:proofErr w:type="gramEnd"/>
      <w:r w:rsidRPr="00D928E7">
        <w:rPr>
          <w:color w:val="141823"/>
          <w:sz w:val="22"/>
          <w:szCs w:val="22"/>
        </w:rPr>
        <w:t>. Pēc Izcilības modeļa ieviešanas ir pieaudzis šo organizāciju prestiža līmenis, biedru skaits, kā arī iesaistīto darbin</w:t>
      </w:r>
      <w:r w:rsidRPr="00D928E7">
        <w:rPr>
          <w:rStyle w:val="textexposedshow"/>
          <w:color w:val="141823"/>
          <w:sz w:val="22"/>
          <w:szCs w:val="22"/>
        </w:rPr>
        <w:t>ieku un brīvprātīgo aktivitātes līmenis. Izcilības pieeja</w:t>
      </w:r>
      <w:proofErr w:type="gramStart"/>
      <w:r w:rsidRPr="00D928E7">
        <w:rPr>
          <w:rStyle w:val="textexposedshow"/>
          <w:color w:val="141823"/>
          <w:sz w:val="22"/>
          <w:szCs w:val="22"/>
        </w:rPr>
        <w:t>, tā</w:t>
      </w:r>
      <w:proofErr w:type="gramEnd"/>
      <w:r w:rsidRPr="00D928E7">
        <w:rPr>
          <w:rStyle w:val="textexposedshow"/>
          <w:color w:val="141823"/>
          <w:sz w:val="22"/>
          <w:szCs w:val="22"/>
        </w:rPr>
        <w:t xml:space="preserve"> ir izcilības kultūra iestādē, regulārs </w:t>
      </w:r>
      <w:proofErr w:type="spellStart"/>
      <w:r w:rsidRPr="00D928E7">
        <w:rPr>
          <w:rStyle w:val="textexposedshow"/>
          <w:color w:val="141823"/>
          <w:sz w:val="22"/>
          <w:szCs w:val="22"/>
        </w:rPr>
        <w:t>pašnovērtejums</w:t>
      </w:r>
      <w:proofErr w:type="spellEnd"/>
      <w:r w:rsidRPr="00D928E7">
        <w:rPr>
          <w:rStyle w:val="textexposedshow"/>
          <w:color w:val="141823"/>
          <w:sz w:val="22"/>
          <w:szCs w:val="22"/>
        </w:rPr>
        <w:t xml:space="preserve"> un attīstības plānošana.</w:t>
      </w:r>
      <w:r w:rsidRPr="00D928E7">
        <w:rPr>
          <w:rStyle w:val="apple-converted-space"/>
          <w:color w:val="141823"/>
          <w:sz w:val="22"/>
          <w:szCs w:val="22"/>
        </w:rPr>
        <w:t> </w:t>
      </w:r>
      <w:r w:rsidRPr="00D928E7">
        <w:rPr>
          <w:color w:val="141823"/>
          <w:sz w:val="22"/>
          <w:szCs w:val="22"/>
        </w:rPr>
        <w:br/>
      </w:r>
      <w:r w:rsidRPr="00D928E7">
        <w:rPr>
          <w:rStyle w:val="textexposedshow"/>
          <w:color w:val="141823"/>
          <w:sz w:val="22"/>
          <w:szCs w:val="22"/>
        </w:rPr>
        <w:t>Lai atvieglotu izcilības pieejas ieviešanu un uzturēšanu organizācijās ir izveidots rīks un atbalsta mehānisms GOA-</w:t>
      </w:r>
      <w:proofErr w:type="spellStart"/>
      <w:r w:rsidRPr="00D928E7">
        <w:rPr>
          <w:rStyle w:val="textexposedshow"/>
          <w:color w:val="141823"/>
          <w:sz w:val="22"/>
          <w:szCs w:val="22"/>
        </w:rPr>
        <w:t>Solutions</w:t>
      </w:r>
      <w:proofErr w:type="spellEnd"/>
      <w:r w:rsidRPr="00D928E7">
        <w:rPr>
          <w:rStyle w:val="textexposedshow"/>
          <w:color w:val="141823"/>
          <w:sz w:val="22"/>
          <w:szCs w:val="22"/>
        </w:rPr>
        <w:t>. Šajā komplektā ietilpst pašnovērtēšanas un attīstības projektu rīka GOA-</w:t>
      </w:r>
      <w:proofErr w:type="spellStart"/>
      <w:r w:rsidRPr="00D928E7">
        <w:rPr>
          <w:rStyle w:val="textexposedshow"/>
          <w:color w:val="141823"/>
          <w:sz w:val="22"/>
          <w:szCs w:val="22"/>
        </w:rPr>
        <w:t>WorkBench</w:t>
      </w:r>
      <w:proofErr w:type="spellEnd"/>
      <w:r w:rsidRPr="00D928E7">
        <w:rPr>
          <w:rStyle w:val="textexposedshow"/>
          <w:color w:val="141823"/>
          <w:sz w:val="22"/>
          <w:szCs w:val="22"/>
        </w:rPr>
        <w:t xml:space="preserve"> licence un dažāda līmeņa un veida mācības, kā arī izcilības ieviešanas atbalsta pakalpojumi.</w:t>
      </w:r>
      <w:r w:rsidRPr="00D928E7">
        <w:rPr>
          <w:color w:val="141823"/>
          <w:sz w:val="22"/>
          <w:szCs w:val="22"/>
        </w:rPr>
        <w:t xml:space="preserve"> GOA-</w:t>
      </w:r>
      <w:proofErr w:type="spellStart"/>
      <w:r w:rsidRPr="00D928E7">
        <w:rPr>
          <w:color w:val="141823"/>
          <w:sz w:val="22"/>
          <w:szCs w:val="22"/>
        </w:rPr>
        <w:t>WorkBench</w:t>
      </w:r>
      <w:proofErr w:type="spellEnd"/>
      <w:r w:rsidRPr="00D928E7">
        <w:rPr>
          <w:color w:val="141823"/>
          <w:sz w:val="22"/>
          <w:szCs w:val="22"/>
        </w:rPr>
        <w:t xml:space="preserve"> rīks izveidots, lai taupītu laiku, finanšu un cilvēkresursus, samazinātu darbu ar papīriem pašnovērtējuma laikā. Pieeja rīkam ir tiešsaistē</w:t>
      </w:r>
      <w:proofErr w:type="gramStart"/>
      <w:r w:rsidRPr="00D928E7">
        <w:rPr>
          <w:color w:val="141823"/>
          <w:sz w:val="22"/>
          <w:szCs w:val="22"/>
        </w:rPr>
        <w:t xml:space="preserve"> un</w:t>
      </w:r>
      <w:proofErr w:type="gramEnd"/>
      <w:r w:rsidRPr="00D928E7">
        <w:rPr>
          <w:color w:val="141823"/>
          <w:sz w:val="22"/>
          <w:szCs w:val="22"/>
        </w:rPr>
        <w:t xml:space="preserve"> 1 organizācijai ir neierobežots lietotāju skaits.</w:t>
      </w:r>
      <w:r w:rsidRPr="00D928E7">
        <w:rPr>
          <w:rStyle w:val="apple-converted-space"/>
          <w:color w:val="141823"/>
          <w:sz w:val="22"/>
          <w:szCs w:val="22"/>
        </w:rPr>
        <w:t> </w:t>
      </w:r>
      <w:r w:rsidRPr="00D928E7">
        <w:rPr>
          <w:color w:val="141823"/>
          <w:sz w:val="22"/>
          <w:szCs w:val="22"/>
        </w:rPr>
        <w:t xml:space="preserve"> Pašnovērtējums, kura pamatā ir EFQM modeļa kritēriji, sākas ar piemērotas novērtētāju komandas izveidi un, ja iespējams, visu svarīgāko ieinteresēto pušu aptaujāšanu, kurai var izmantojot programmas aptauju moduli.</w:t>
      </w:r>
      <w:r w:rsidRPr="00D928E7">
        <w:rPr>
          <w:rStyle w:val="apple-converted-space"/>
          <w:color w:val="141823"/>
          <w:sz w:val="22"/>
          <w:szCs w:val="22"/>
        </w:rPr>
        <w:t> </w:t>
      </w:r>
      <w:r w:rsidRPr="00D928E7">
        <w:rPr>
          <w:color w:val="141823"/>
          <w:sz w:val="22"/>
          <w:szCs w:val="22"/>
        </w:rPr>
        <w:br/>
        <w:t xml:space="preserve">Vairāk </w:t>
      </w:r>
      <w:proofErr w:type="spellStart"/>
      <w:r w:rsidRPr="00D928E7">
        <w:rPr>
          <w:color w:val="141823"/>
          <w:sz w:val="22"/>
          <w:szCs w:val="22"/>
        </w:rPr>
        <w:t>infomrācijas</w:t>
      </w:r>
      <w:proofErr w:type="spellEnd"/>
      <w:r w:rsidRPr="00D928E7">
        <w:rPr>
          <w:color w:val="141823"/>
          <w:sz w:val="22"/>
          <w:szCs w:val="22"/>
        </w:rPr>
        <w:t xml:space="preserve"> var atrast šeit - &gt;</w:t>
      </w:r>
      <w:r w:rsidRPr="00D928E7">
        <w:rPr>
          <w:rStyle w:val="apple-converted-space"/>
          <w:color w:val="141823"/>
          <w:sz w:val="22"/>
          <w:szCs w:val="22"/>
        </w:rPr>
        <w:t> </w:t>
      </w:r>
      <w:hyperlink r:id="rId6" w:tgtFrame="_blank" w:history="1">
        <w:r w:rsidRPr="00D928E7">
          <w:rPr>
            <w:rStyle w:val="Hyperlink"/>
            <w:color w:val="3B5998"/>
            <w:sz w:val="22"/>
            <w:szCs w:val="22"/>
          </w:rPr>
          <w:t>http://nvo.lv/…/publica…/iespeja-sasniegt-nvo-izcilibu-6070/</w:t>
        </w:r>
      </w:hyperlink>
      <w:r w:rsidRPr="00D928E7">
        <w:rPr>
          <w:color w:val="141823"/>
          <w:sz w:val="22"/>
          <w:szCs w:val="22"/>
        </w:rPr>
        <w:t xml:space="preserve"> </w:t>
      </w:r>
      <w:r w:rsidRPr="00D928E7">
        <w:rPr>
          <w:color w:val="333333"/>
          <w:sz w:val="22"/>
          <w:szCs w:val="22"/>
        </w:rPr>
        <w:t>GOA-</w:t>
      </w:r>
      <w:proofErr w:type="spellStart"/>
      <w:r w:rsidRPr="00D928E7">
        <w:rPr>
          <w:color w:val="333333"/>
          <w:sz w:val="22"/>
          <w:szCs w:val="22"/>
        </w:rPr>
        <w:t>WorkBench</w:t>
      </w:r>
      <w:proofErr w:type="spellEnd"/>
      <w:r w:rsidRPr="00D928E7">
        <w:rPr>
          <w:color w:val="333333"/>
          <w:sz w:val="22"/>
          <w:szCs w:val="22"/>
        </w:rPr>
        <w:t xml:space="preserve"> rīks izveidots, lai taupītu laiku, finanšu un cilvēkresursus, samazinātu darbu ar papīriem pašnovērtējuma laikā. Pieeja rīkam ir tiešsaistē</w:t>
      </w:r>
      <w:proofErr w:type="gramStart"/>
      <w:r w:rsidRPr="00D928E7">
        <w:rPr>
          <w:color w:val="333333"/>
          <w:sz w:val="22"/>
          <w:szCs w:val="22"/>
        </w:rPr>
        <w:t xml:space="preserve"> un</w:t>
      </w:r>
      <w:proofErr w:type="gramEnd"/>
      <w:r w:rsidRPr="00D928E7">
        <w:rPr>
          <w:color w:val="333333"/>
          <w:sz w:val="22"/>
          <w:szCs w:val="22"/>
        </w:rPr>
        <w:t xml:space="preserve"> 1 organizācijai  ir neierobežots lietotāju skaits. </w:t>
      </w:r>
    </w:p>
    <w:p w:rsidR="00D928E7" w:rsidRPr="00D928E7" w:rsidRDefault="00D928E7" w:rsidP="00D928E7">
      <w:pPr>
        <w:pStyle w:val="NormalWeb"/>
        <w:pBdr>
          <w:bottom w:val="single" w:sz="6" w:space="1" w:color="auto"/>
        </w:pBdr>
        <w:shd w:val="clear" w:color="auto" w:fill="FFFFFF"/>
        <w:spacing w:before="0" w:beforeAutospacing="0" w:after="0" w:afterAutospacing="0" w:line="352" w:lineRule="atLeast"/>
        <w:jc w:val="both"/>
        <w:rPr>
          <w:color w:val="333333"/>
          <w:sz w:val="22"/>
          <w:szCs w:val="22"/>
        </w:rPr>
      </w:pPr>
      <w:r w:rsidRPr="00D928E7">
        <w:rPr>
          <w:color w:val="333333"/>
          <w:sz w:val="22"/>
          <w:szCs w:val="22"/>
        </w:rPr>
        <w:t>Pašnovērtējums, kura pamatā ir EFQM modeļa kritēriji, sākas ar piemērotas novērtētāju komandas izveidi un, ja iespējams, visu svarīgāko ieinteresēto pušu aptaujāšanu, kurai var izmantojot programmas aptauju moduli. Pēc tam tiek veikts iestādes pašnovērtējums, rezultātu apkopošana, prioritāšu noteikšana, kā arī attīstības plāna izveide un atskaišu veidošana. Rīks sastāv no: iestādes pašnovērtējuma moduļa, tiešsaistes aptaujas anketu katalogu moduļa, atskaišu moduļa un  attīstības projektu plānošanas moduļa. GOA-</w:t>
      </w:r>
      <w:proofErr w:type="spellStart"/>
      <w:r w:rsidRPr="00D928E7">
        <w:rPr>
          <w:color w:val="333333"/>
          <w:sz w:val="22"/>
          <w:szCs w:val="22"/>
        </w:rPr>
        <w:t>WorkBench</w:t>
      </w:r>
      <w:proofErr w:type="spellEnd"/>
      <w:r w:rsidRPr="00D928E7">
        <w:rPr>
          <w:color w:val="333333"/>
          <w:sz w:val="22"/>
          <w:szCs w:val="22"/>
        </w:rPr>
        <w:t xml:space="preserve">®, ar pilnu funkcionalitāti, licences cena ir 399EUR/gadā 1 organizācijai ar neierobežotu lietotāju skaitu. </w:t>
      </w:r>
      <w:proofErr w:type="gramStart"/>
      <w:r w:rsidRPr="00D928E7">
        <w:rPr>
          <w:color w:val="333333"/>
          <w:sz w:val="22"/>
          <w:szCs w:val="22"/>
        </w:rPr>
        <w:t>Ja Jūs interesē izcilības pieeja</w:t>
      </w:r>
      <w:proofErr w:type="gramEnd"/>
      <w:r w:rsidRPr="00D928E7">
        <w:rPr>
          <w:color w:val="333333"/>
          <w:sz w:val="22"/>
          <w:szCs w:val="22"/>
        </w:rPr>
        <w:t xml:space="preserve"> vai vēlaties veikt savu pašnovērtējumu pēc tās, lūdzu sazinieties ar</w:t>
      </w:r>
      <w:r w:rsidRPr="00D928E7">
        <w:rPr>
          <w:rStyle w:val="apple-converted-space"/>
          <w:color w:val="333333"/>
          <w:sz w:val="22"/>
          <w:szCs w:val="22"/>
        </w:rPr>
        <w:t> </w:t>
      </w:r>
      <w:hyperlink r:id="rId7" w:history="1">
        <w:r w:rsidRPr="00D928E7">
          <w:rPr>
            <w:rStyle w:val="Hyperlink"/>
            <w:color w:val="666666"/>
            <w:sz w:val="22"/>
            <w:szCs w:val="22"/>
          </w:rPr>
          <w:t>rasma@nvo.lv</w:t>
        </w:r>
      </w:hyperlink>
      <w:r w:rsidRPr="00D928E7">
        <w:rPr>
          <w:color w:val="333333"/>
          <w:sz w:val="22"/>
          <w:szCs w:val="22"/>
        </w:rPr>
        <w:t xml:space="preserve">  </w:t>
      </w:r>
      <w:proofErr w:type="spellStart"/>
      <w:r w:rsidRPr="00D928E7">
        <w:rPr>
          <w:color w:val="333333"/>
          <w:sz w:val="22"/>
          <w:szCs w:val="22"/>
        </w:rPr>
        <w:t>vai</w:t>
      </w:r>
      <w:hyperlink r:id="rId8" w:history="1">
        <w:r w:rsidRPr="00D928E7">
          <w:rPr>
            <w:rStyle w:val="Hyperlink"/>
            <w:color w:val="666666"/>
            <w:sz w:val="22"/>
            <w:szCs w:val="22"/>
          </w:rPr>
          <w:t>vanda@eurofortis.lv</w:t>
        </w:r>
        <w:proofErr w:type="spellEnd"/>
      </w:hyperlink>
      <w:r w:rsidRPr="00D928E7">
        <w:rPr>
          <w:color w:val="333333"/>
          <w:sz w:val="22"/>
          <w:szCs w:val="22"/>
        </w:rPr>
        <w:t>.</w:t>
      </w:r>
    </w:p>
    <w:p w:rsidR="002E22DC" w:rsidRPr="00F20ADE" w:rsidRDefault="002E22DC" w:rsidP="002E22DC">
      <w:r>
        <w:rPr>
          <w:rFonts w:ascii="Tahoma" w:hAnsi="Tahoma" w:cs="Tahoma"/>
          <w:color w:val="848484"/>
          <w:sz w:val="20"/>
          <w:szCs w:val="20"/>
        </w:rPr>
        <w:t>Projektu finansiāli atbalsta Islande, Lihtenšteina un Norvēģija</w:t>
      </w:r>
    </w:p>
    <w:p w:rsidR="002E22DC" w:rsidRDefault="002E22DC" w:rsidP="002E22DC">
      <w:r>
        <w:rPr>
          <w:rFonts w:ascii="Tahoma" w:hAnsi="Tahoma" w:cs="Tahoma"/>
          <w:color w:val="848484"/>
          <w:sz w:val="20"/>
          <w:szCs w:val="20"/>
        </w:rPr>
        <w:t>Sabiedrības integrācijas fonds:</w:t>
      </w:r>
      <w:r>
        <w:rPr>
          <w:rStyle w:val="apple-converted-space"/>
          <w:color w:val="848484"/>
          <w:sz w:val="20"/>
          <w:szCs w:val="20"/>
        </w:rPr>
        <w:t> </w:t>
      </w:r>
      <w:hyperlink r:id="rId9" w:history="1">
        <w:r>
          <w:rPr>
            <w:rStyle w:val="Hyperlink"/>
            <w:rFonts w:ascii="Tahoma" w:hAnsi="Tahoma" w:cs="Tahoma"/>
            <w:color w:val="929292"/>
            <w:sz w:val="18"/>
            <w:szCs w:val="18"/>
          </w:rPr>
          <w:t>http://www.sif.lv</w:t>
        </w:r>
      </w:hyperlink>
      <w:r>
        <w:rPr>
          <w:rFonts w:ascii="Tahoma" w:hAnsi="Tahoma" w:cs="Tahoma"/>
          <w:color w:val="848484"/>
          <w:sz w:val="20"/>
          <w:szCs w:val="20"/>
        </w:rPr>
        <w:br/>
        <w:t xml:space="preserve">EEZ Finanšu instrumenta </w:t>
      </w:r>
      <w:proofErr w:type="gramStart"/>
      <w:r>
        <w:rPr>
          <w:rFonts w:ascii="Tahoma" w:hAnsi="Tahoma" w:cs="Tahoma"/>
          <w:color w:val="848484"/>
          <w:sz w:val="20"/>
          <w:szCs w:val="20"/>
        </w:rPr>
        <w:t>mājas lapa</w:t>
      </w:r>
      <w:proofErr w:type="gramEnd"/>
      <w:r>
        <w:rPr>
          <w:rFonts w:ascii="Tahoma" w:hAnsi="Tahoma" w:cs="Tahoma"/>
          <w:color w:val="848484"/>
          <w:sz w:val="20"/>
          <w:szCs w:val="20"/>
        </w:rPr>
        <w:t xml:space="preserve"> Latvijā: </w:t>
      </w:r>
      <w:hyperlink r:id="rId10" w:history="1">
        <w:r>
          <w:rPr>
            <w:rStyle w:val="Hyperlink"/>
            <w:rFonts w:ascii="Tahoma" w:hAnsi="Tahoma" w:cs="Tahoma"/>
            <w:color w:val="929292"/>
            <w:sz w:val="18"/>
            <w:szCs w:val="18"/>
          </w:rPr>
          <w:t>http://www.eeagrants.lv</w:t>
        </w:r>
      </w:hyperlink>
      <w:r>
        <w:rPr>
          <w:rFonts w:ascii="Tahoma" w:hAnsi="Tahoma" w:cs="Tahoma"/>
          <w:color w:val="848484"/>
          <w:sz w:val="20"/>
          <w:szCs w:val="20"/>
        </w:rPr>
        <w:br/>
        <w:t>EEZ Finanšu instrumenta oficiālā mājas lapa: </w:t>
      </w:r>
      <w:hyperlink r:id="rId11" w:history="1">
        <w:r>
          <w:rPr>
            <w:rStyle w:val="Hyperlink"/>
            <w:rFonts w:ascii="Tahoma" w:hAnsi="Tahoma" w:cs="Tahoma"/>
            <w:color w:val="929292"/>
            <w:sz w:val="18"/>
            <w:szCs w:val="18"/>
          </w:rPr>
          <w:t>http://www.eeagrants.org/</w:t>
        </w:r>
      </w:hyperlink>
    </w:p>
    <w:sectPr w:rsidR="002E22DC" w:rsidSect="00E224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22DC"/>
    <w:rsid w:val="002E22DC"/>
    <w:rsid w:val="00D928E7"/>
    <w:rsid w:val="00E224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2DC"/>
    <w:rPr>
      <w:color w:val="0000FF"/>
      <w:u w:val="single"/>
    </w:rPr>
  </w:style>
  <w:style w:type="character" w:customStyle="1" w:styleId="apple-converted-space">
    <w:name w:val="apple-converted-space"/>
    <w:basedOn w:val="DefaultParagraphFont"/>
    <w:rsid w:val="002E22DC"/>
  </w:style>
  <w:style w:type="paragraph" w:styleId="BalloonText">
    <w:name w:val="Balloon Text"/>
    <w:basedOn w:val="Normal"/>
    <w:link w:val="BalloonTextChar"/>
    <w:uiPriority w:val="99"/>
    <w:semiHidden/>
    <w:unhideWhenUsed/>
    <w:rsid w:val="00D928E7"/>
    <w:rPr>
      <w:rFonts w:ascii="Tahoma" w:hAnsi="Tahoma" w:cs="Tahoma"/>
      <w:sz w:val="16"/>
      <w:szCs w:val="16"/>
    </w:rPr>
  </w:style>
  <w:style w:type="character" w:customStyle="1" w:styleId="BalloonTextChar">
    <w:name w:val="Balloon Text Char"/>
    <w:basedOn w:val="DefaultParagraphFont"/>
    <w:link w:val="BalloonText"/>
    <w:uiPriority w:val="99"/>
    <w:semiHidden/>
    <w:rsid w:val="00D928E7"/>
    <w:rPr>
      <w:rFonts w:ascii="Tahoma" w:eastAsia="Times New Roman" w:hAnsi="Tahoma" w:cs="Tahoma"/>
      <w:sz w:val="16"/>
      <w:szCs w:val="16"/>
      <w:lang w:eastAsia="lv-LV"/>
    </w:rPr>
  </w:style>
  <w:style w:type="paragraph" w:styleId="NormalWeb">
    <w:name w:val="Normal (Web)"/>
    <w:basedOn w:val="Normal"/>
    <w:uiPriority w:val="99"/>
    <w:semiHidden/>
    <w:unhideWhenUsed/>
    <w:rsid w:val="00D928E7"/>
    <w:pPr>
      <w:spacing w:before="100" w:beforeAutospacing="1" w:after="100" w:afterAutospacing="1"/>
    </w:pPr>
  </w:style>
  <w:style w:type="character" w:customStyle="1" w:styleId="textexposedshow">
    <w:name w:val="text_exposed_show"/>
    <w:basedOn w:val="DefaultParagraphFont"/>
    <w:rsid w:val="00D92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a@euroforti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sma@nvo.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nvo.lv%2Flv%2Fnews%2Fpublication%2Fiespeja-sasniegt-nvo-izcilibu-6070%2F&amp;h=rAQFcub-l&amp;enc=AZPqV9gGZLr6b4EbLrI5uIn9e4jmAA9GwcZUZorfNMU7h2Kle3Hiy_nStjYb2zrJWF5EK7tsoH10ln-qbNOdf81gByCC6ozpd8Czy2Iq7mRmkwvfdcyr_h__2h06tgAg6zAlHXI_XxpnmRC2Mi1RaJBVkVfSZqnZw3ES1bA9uU88jg&amp;s=1" TargetMode="External"/><Relationship Id="rId11" Type="http://schemas.openxmlformats.org/officeDocument/2006/relationships/hyperlink" Target="http://www.eeagrants.org/" TargetMode="External"/><Relationship Id="rId5" Type="http://schemas.openxmlformats.org/officeDocument/2006/relationships/image" Target="media/image2.jpeg"/><Relationship Id="rId10" Type="http://schemas.openxmlformats.org/officeDocument/2006/relationships/hyperlink" Target="http://www.eeagrants.lv/" TargetMode="External"/><Relationship Id="rId4" Type="http://schemas.openxmlformats.org/officeDocument/2006/relationships/image" Target="media/image1.jpeg"/><Relationship Id="rId9" Type="http://schemas.openxmlformats.org/officeDocument/2006/relationships/hyperlink" Target="http://www.si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2144</Words>
  <Characters>1223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2015-04-19T15:15:00Z</cp:lastPrinted>
  <dcterms:created xsi:type="dcterms:W3CDTF">2015-04-19T15:00:00Z</dcterms:created>
  <dcterms:modified xsi:type="dcterms:W3CDTF">2015-04-19T15:15:00Z</dcterms:modified>
</cp:coreProperties>
</file>